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096E" w14:textId="7066A04F" w:rsidR="00987B30" w:rsidRDefault="0043798E" w:rsidP="00987B30">
      <w:pPr>
        <w:spacing w:after="0" w:line="240" w:lineRule="auto"/>
        <w:rPr>
          <w:rFonts w:ascii="Arial" w:hAnsi="Arial" w:cs="Arial"/>
        </w:rPr>
      </w:pPr>
      <w:r>
        <w:rPr>
          <w:rFonts w:ascii="Arial" w:hAnsi="Arial" w:cs="Arial"/>
          <w:noProof/>
        </w:rPr>
        <w:drawing>
          <wp:anchor distT="0" distB="0" distL="114300" distR="114300" simplePos="0" relativeHeight="251660288" behindDoc="1" locked="1" layoutInCell="1" allowOverlap="1" wp14:anchorId="2C20E226" wp14:editId="776497F9">
            <wp:simplePos x="0" y="0"/>
            <wp:positionH relativeFrom="page">
              <wp:align>left</wp:align>
            </wp:positionH>
            <wp:positionV relativeFrom="paragraph">
              <wp:posOffset>-890270</wp:posOffset>
            </wp:positionV>
            <wp:extent cx="7545600" cy="10648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7545600" cy="10648800"/>
                    </a:xfrm>
                    <a:prstGeom prst="rect">
                      <a:avLst/>
                    </a:prstGeom>
                  </pic:spPr>
                </pic:pic>
              </a:graphicData>
            </a:graphic>
            <wp14:sizeRelH relativeFrom="margin">
              <wp14:pctWidth>0</wp14:pctWidth>
            </wp14:sizeRelH>
            <wp14:sizeRelV relativeFrom="margin">
              <wp14:pctHeight>0</wp14:pctHeight>
            </wp14:sizeRelV>
          </wp:anchor>
        </w:drawing>
      </w:r>
    </w:p>
    <w:p w14:paraId="429430ED" w14:textId="4A25CCD0" w:rsidR="00A83D23" w:rsidRDefault="00A83D23" w:rsidP="00987B30">
      <w:pPr>
        <w:spacing w:after="0" w:line="240" w:lineRule="auto"/>
        <w:rPr>
          <w:rFonts w:ascii="Arial" w:hAnsi="Arial" w:cs="Arial"/>
        </w:rPr>
      </w:pPr>
    </w:p>
    <w:p w14:paraId="272F23CD" w14:textId="567D39F3" w:rsidR="00A83D23" w:rsidRDefault="00A83D23" w:rsidP="00987B30">
      <w:pPr>
        <w:spacing w:after="0" w:line="240" w:lineRule="auto"/>
        <w:rPr>
          <w:rFonts w:ascii="Arial" w:hAnsi="Arial" w:cs="Arial"/>
        </w:rPr>
      </w:pPr>
    </w:p>
    <w:p w14:paraId="1D250E40" w14:textId="31A0611A" w:rsidR="00A83D23" w:rsidRDefault="00A83D23" w:rsidP="00987B30">
      <w:pPr>
        <w:spacing w:after="0" w:line="240" w:lineRule="auto"/>
        <w:rPr>
          <w:rFonts w:ascii="Arial" w:hAnsi="Arial" w:cs="Arial"/>
        </w:rPr>
      </w:pPr>
    </w:p>
    <w:p w14:paraId="70B9F098" w14:textId="284FE25E" w:rsidR="00A83D23" w:rsidRDefault="00A83D23" w:rsidP="00987B30">
      <w:pPr>
        <w:spacing w:after="0" w:line="240" w:lineRule="auto"/>
        <w:rPr>
          <w:rFonts w:ascii="Arial" w:hAnsi="Arial" w:cs="Arial"/>
        </w:rPr>
      </w:pPr>
    </w:p>
    <w:p w14:paraId="0A8A257D" w14:textId="77777777" w:rsidR="0043798E" w:rsidRDefault="0043798E" w:rsidP="00A83D23">
      <w:pPr>
        <w:jc w:val="right"/>
        <w:rPr>
          <w:rFonts w:cs="Arial"/>
        </w:rPr>
      </w:pPr>
    </w:p>
    <w:p w14:paraId="007924D6" w14:textId="77777777" w:rsidR="0043798E" w:rsidRDefault="0043798E" w:rsidP="00A83D23">
      <w:pPr>
        <w:jc w:val="right"/>
        <w:rPr>
          <w:rFonts w:cs="Arial"/>
        </w:rPr>
      </w:pPr>
    </w:p>
    <w:p w14:paraId="4B0002BD" w14:textId="77777777" w:rsidR="0043798E" w:rsidRDefault="0043798E" w:rsidP="00A83D23">
      <w:pPr>
        <w:jc w:val="right"/>
        <w:rPr>
          <w:rFonts w:cs="Arial"/>
        </w:rPr>
      </w:pPr>
    </w:p>
    <w:p w14:paraId="7A7712E1" w14:textId="77777777" w:rsidR="0043798E" w:rsidRDefault="0043798E" w:rsidP="00A83D23">
      <w:pPr>
        <w:jc w:val="right"/>
        <w:rPr>
          <w:rFonts w:cs="Arial"/>
        </w:rPr>
      </w:pPr>
    </w:p>
    <w:p w14:paraId="69F4D6E2" w14:textId="77777777" w:rsidR="0043798E" w:rsidRDefault="0043798E" w:rsidP="00A83D23">
      <w:pPr>
        <w:jc w:val="right"/>
        <w:rPr>
          <w:rFonts w:cs="Arial"/>
        </w:rPr>
      </w:pPr>
    </w:p>
    <w:p w14:paraId="09117EC4" w14:textId="77777777" w:rsidR="0043798E" w:rsidRDefault="0043798E" w:rsidP="00A83D23">
      <w:pPr>
        <w:jc w:val="right"/>
        <w:rPr>
          <w:rFonts w:cs="Arial"/>
        </w:rPr>
      </w:pPr>
    </w:p>
    <w:p w14:paraId="45ABFC8D" w14:textId="77777777" w:rsidR="0043798E" w:rsidRDefault="0043798E" w:rsidP="00A83D23">
      <w:pPr>
        <w:jc w:val="right"/>
        <w:rPr>
          <w:rFonts w:cs="Arial"/>
        </w:rPr>
      </w:pPr>
    </w:p>
    <w:p w14:paraId="30981123" w14:textId="7F38EB68" w:rsidR="00A83D23" w:rsidRPr="0093624D" w:rsidRDefault="00A83D23" w:rsidP="00A83D23">
      <w:pPr>
        <w:jc w:val="right"/>
        <w:rPr>
          <w:rFonts w:cstheme="minorHAnsi"/>
          <w:b/>
          <w:bCs/>
          <w:sz w:val="28"/>
          <w:szCs w:val="28"/>
        </w:rPr>
      </w:pPr>
      <w:r w:rsidRPr="0093624D">
        <w:rPr>
          <w:rFonts w:cs="Arial"/>
        </w:rPr>
        <w:t xml:space="preserve">Aubergenville, le </w:t>
      </w:r>
      <w:r>
        <w:rPr>
          <w:rFonts w:cs="Arial"/>
        </w:rPr>
        <w:t>16 novembre</w:t>
      </w:r>
      <w:r w:rsidRPr="0093624D">
        <w:rPr>
          <w:rFonts w:cs="Arial"/>
        </w:rPr>
        <w:t xml:space="preserve"> 2021</w:t>
      </w:r>
    </w:p>
    <w:p w14:paraId="1BAC0066" w14:textId="77777777" w:rsidR="00A83D23" w:rsidRDefault="00A83D23" w:rsidP="00987B30">
      <w:pPr>
        <w:spacing w:after="0" w:line="240" w:lineRule="auto"/>
        <w:rPr>
          <w:rFonts w:ascii="Arial" w:hAnsi="Arial" w:cs="Arial"/>
        </w:rPr>
      </w:pPr>
    </w:p>
    <w:p w14:paraId="0B69F176" w14:textId="5FA1EAB9" w:rsidR="000153CE" w:rsidRDefault="000153CE" w:rsidP="000153CE">
      <w:pPr>
        <w:spacing w:after="0" w:line="240" w:lineRule="auto"/>
        <w:rPr>
          <w:rFonts w:ascii="Arial" w:hAnsi="Arial" w:cs="Arial"/>
          <w:b/>
          <w:bCs/>
        </w:rPr>
      </w:pPr>
    </w:p>
    <w:p w14:paraId="2D50F84E" w14:textId="136D35D0" w:rsidR="00F80D72" w:rsidRPr="000055EF" w:rsidRDefault="00F80D72" w:rsidP="00A83D23">
      <w:pPr>
        <w:spacing w:after="0" w:line="240" w:lineRule="auto"/>
        <w:jc w:val="center"/>
        <w:rPr>
          <w:rFonts w:cstheme="minorHAnsi"/>
          <w:b/>
          <w:bCs/>
          <w:color w:val="7030A0"/>
          <w:sz w:val="24"/>
          <w:szCs w:val="24"/>
        </w:rPr>
      </w:pPr>
      <w:r w:rsidRPr="000055EF">
        <w:rPr>
          <w:rFonts w:cstheme="minorHAnsi"/>
          <w:b/>
          <w:bCs/>
          <w:color w:val="7030A0"/>
          <w:sz w:val="24"/>
          <w:szCs w:val="24"/>
        </w:rPr>
        <w:t>PR</w:t>
      </w:r>
      <w:r w:rsidR="000055EF" w:rsidRPr="000055EF">
        <w:rPr>
          <w:rFonts w:cstheme="minorHAnsi"/>
          <w:b/>
          <w:bCs/>
          <w:color w:val="7030A0"/>
          <w:sz w:val="24"/>
          <w:szCs w:val="24"/>
        </w:rPr>
        <w:t>É</w:t>
      </w:r>
      <w:r w:rsidRPr="000055EF">
        <w:rPr>
          <w:rFonts w:cstheme="minorHAnsi"/>
          <w:b/>
          <w:bCs/>
          <w:color w:val="7030A0"/>
          <w:sz w:val="24"/>
          <w:szCs w:val="24"/>
        </w:rPr>
        <w:t>SERVATION DU CADRE DE VIE</w:t>
      </w:r>
    </w:p>
    <w:p w14:paraId="7E950200" w14:textId="6672D4A6" w:rsidR="000153CE" w:rsidRPr="002F7166" w:rsidRDefault="000055EF" w:rsidP="00A83D23">
      <w:pPr>
        <w:spacing w:after="0" w:line="240" w:lineRule="auto"/>
        <w:jc w:val="center"/>
        <w:rPr>
          <w:rFonts w:cstheme="minorHAnsi"/>
          <w:b/>
          <w:bCs/>
          <w:color w:val="7030A0"/>
          <w:sz w:val="28"/>
          <w:szCs w:val="28"/>
        </w:rPr>
      </w:pPr>
      <w:r>
        <w:rPr>
          <w:rFonts w:cstheme="minorHAnsi"/>
          <w:b/>
          <w:bCs/>
          <w:color w:val="7030A0"/>
          <w:sz w:val="28"/>
          <w:szCs w:val="28"/>
        </w:rPr>
        <w:t>L</w:t>
      </w:r>
      <w:r w:rsidRPr="002F7166">
        <w:rPr>
          <w:rFonts w:cstheme="minorHAnsi"/>
          <w:b/>
          <w:bCs/>
          <w:color w:val="7030A0"/>
          <w:sz w:val="28"/>
          <w:szCs w:val="28"/>
        </w:rPr>
        <w:t>E FUTUR R</w:t>
      </w:r>
      <w:r>
        <w:rPr>
          <w:rFonts w:cstheme="minorHAnsi"/>
          <w:b/>
          <w:bCs/>
          <w:color w:val="7030A0"/>
          <w:sz w:val="28"/>
          <w:szCs w:val="28"/>
        </w:rPr>
        <w:t>È</w:t>
      </w:r>
      <w:r w:rsidRPr="002F7166">
        <w:rPr>
          <w:rFonts w:cstheme="minorHAnsi"/>
          <w:b/>
          <w:bCs/>
          <w:color w:val="7030A0"/>
          <w:sz w:val="28"/>
          <w:szCs w:val="28"/>
        </w:rPr>
        <w:t>GLEMENT LOCAL DE PUBLICIT</w:t>
      </w:r>
      <w:r>
        <w:rPr>
          <w:rFonts w:cstheme="minorHAnsi"/>
          <w:b/>
          <w:bCs/>
          <w:color w:val="7030A0"/>
          <w:sz w:val="28"/>
          <w:szCs w:val="28"/>
        </w:rPr>
        <w:t>É</w:t>
      </w:r>
      <w:r w:rsidRPr="002F7166">
        <w:rPr>
          <w:rFonts w:cstheme="minorHAnsi"/>
          <w:b/>
          <w:bCs/>
          <w:color w:val="7030A0"/>
          <w:sz w:val="28"/>
          <w:szCs w:val="28"/>
        </w:rPr>
        <w:t xml:space="preserve"> INTERCOMMUNAL SE DESSINE</w:t>
      </w:r>
    </w:p>
    <w:p w14:paraId="357ABFF9" w14:textId="77777777" w:rsidR="000153CE" w:rsidRPr="00A83D23" w:rsidRDefault="000153CE" w:rsidP="00A83D23">
      <w:pPr>
        <w:spacing w:after="0" w:line="240" w:lineRule="auto"/>
        <w:jc w:val="both"/>
        <w:rPr>
          <w:rFonts w:cstheme="minorHAnsi"/>
        </w:rPr>
      </w:pPr>
    </w:p>
    <w:p w14:paraId="435DBFD4" w14:textId="77777777" w:rsidR="000153CE" w:rsidRPr="00A83D23" w:rsidRDefault="000153CE" w:rsidP="00A83D23">
      <w:pPr>
        <w:spacing w:after="0" w:line="240" w:lineRule="auto"/>
        <w:jc w:val="both"/>
        <w:rPr>
          <w:rFonts w:cstheme="minorHAnsi"/>
          <w:b/>
          <w:bCs/>
        </w:rPr>
      </w:pPr>
    </w:p>
    <w:p w14:paraId="5D782AB7" w14:textId="63481022" w:rsidR="00987B30" w:rsidRPr="00A83D23" w:rsidRDefault="008A382F" w:rsidP="00A83D23">
      <w:pPr>
        <w:spacing w:after="0" w:line="240" w:lineRule="auto"/>
        <w:jc w:val="both"/>
        <w:rPr>
          <w:rFonts w:cstheme="minorHAnsi"/>
          <w:b/>
          <w:bCs/>
        </w:rPr>
      </w:pPr>
      <w:r w:rsidRPr="00A83D23">
        <w:rPr>
          <w:rFonts w:cstheme="minorHAnsi"/>
          <w:b/>
          <w:bCs/>
        </w:rPr>
        <w:t xml:space="preserve">Entamée en 2020 en concertation avec les élus, partenaires et habitants, l’élaboration du </w:t>
      </w:r>
      <w:r w:rsidR="000153CE" w:rsidRPr="00A83D23">
        <w:rPr>
          <w:rFonts w:cstheme="minorHAnsi"/>
          <w:b/>
          <w:bCs/>
        </w:rPr>
        <w:t>Règlement local de publicité intercommunal (</w:t>
      </w:r>
      <w:proofErr w:type="spellStart"/>
      <w:r w:rsidRPr="00A83D23">
        <w:rPr>
          <w:rFonts w:cstheme="minorHAnsi"/>
          <w:b/>
          <w:bCs/>
        </w:rPr>
        <w:t>RLPi</w:t>
      </w:r>
      <w:proofErr w:type="spellEnd"/>
      <w:r w:rsidR="000153CE" w:rsidRPr="00A83D23">
        <w:rPr>
          <w:rFonts w:cstheme="minorHAnsi"/>
          <w:b/>
          <w:bCs/>
        </w:rPr>
        <w:t>)</w:t>
      </w:r>
      <w:r w:rsidRPr="00A83D23">
        <w:rPr>
          <w:rFonts w:cstheme="minorHAnsi"/>
          <w:b/>
          <w:bCs/>
        </w:rPr>
        <w:t xml:space="preserve"> touche à sa fin. Après avoir évoqué le diagnostic territorial en mars dernier lors d’une </w:t>
      </w:r>
      <w:r w:rsidR="000153CE" w:rsidRPr="00A83D23">
        <w:rPr>
          <w:rFonts w:cstheme="minorHAnsi"/>
          <w:b/>
          <w:bCs/>
        </w:rPr>
        <w:t xml:space="preserve">première </w:t>
      </w:r>
      <w:r w:rsidRPr="00A83D23">
        <w:rPr>
          <w:rFonts w:cstheme="minorHAnsi"/>
          <w:b/>
          <w:bCs/>
        </w:rPr>
        <w:t xml:space="preserve">réunion publique, la communauté urbaine a </w:t>
      </w:r>
      <w:r w:rsidR="04D03045" w:rsidRPr="00A83D23">
        <w:rPr>
          <w:rFonts w:cstheme="minorHAnsi"/>
          <w:b/>
          <w:bCs/>
        </w:rPr>
        <w:t xml:space="preserve">travaillé avec les communes </w:t>
      </w:r>
      <w:r w:rsidRPr="00A83D23">
        <w:rPr>
          <w:rFonts w:cstheme="minorHAnsi"/>
          <w:b/>
          <w:bCs/>
        </w:rPr>
        <w:t xml:space="preserve">à la rédaction du document qui va réglementer l’affichage publicitaire sur </w:t>
      </w:r>
      <w:r w:rsidR="000153CE" w:rsidRPr="00A83D23">
        <w:rPr>
          <w:rFonts w:cstheme="minorHAnsi"/>
          <w:b/>
          <w:bCs/>
        </w:rPr>
        <w:t>l’ensemble du territoire</w:t>
      </w:r>
      <w:r w:rsidRPr="00A83D23">
        <w:rPr>
          <w:rFonts w:cstheme="minorHAnsi"/>
          <w:b/>
          <w:bCs/>
        </w:rPr>
        <w:t xml:space="preserve">. Les grands principes du zonage et du règlement vont être présentés lors d’une réunion </w:t>
      </w:r>
      <w:r w:rsidR="000153CE" w:rsidRPr="00A83D23">
        <w:rPr>
          <w:rFonts w:cstheme="minorHAnsi"/>
          <w:b/>
          <w:bCs/>
        </w:rPr>
        <w:t xml:space="preserve">publique </w:t>
      </w:r>
      <w:r w:rsidRPr="00A83D23">
        <w:rPr>
          <w:rFonts w:cstheme="minorHAnsi"/>
          <w:b/>
          <w:bCs/>
        </w:rPr>
        <w:t>ouverte à tous mardi 2</w:t>
      </w:r>
      <w:r w:rsidR="0335F550" w:rsidRPr="00A83D23">
        <w:rPr>
          <w:rFonts w:cstheme="minorHAnsi"/>
          <w:b/>
          <w:bCs/>
        </w:rPr>
        <w:t>3</w:t>
      </w:r>
      <w:r w:rsidRPr="00A83D23">
        <w:rPr>
          <w:rFonts w:cstheme="minorHAnsi"/>
          <w:b/>
          <w:bCs/>
        </w:rPr>
        <w:t xml:space="preserve"> novembre</w:t>
      </w:r>
      <w:r w:rsidR="000153CE" w:rsidRPr="00A83D23">
        <w:rPr>
          <w:rFonts w:cstheme="minorHAnsi"/>
          <w:b/>
          <w:bCs/>
        </w:rPr>
        <w:t>,</w:t>
      </w:r>
      <w:r w:rsidRPr="00A83D23">
        <w:rPr>
          <w:rFonts w:cstheme="minorHAnsi"/>
          <w:b/>
          <w:bCs/>
        </w:rPr>
        <w:t xml:space="preserve"> à 18h30. Elle aura lieu en visioconférence pour favoriser la participation du plus grand nombre sans la contrainte de déplace</w:t>
      </w:r>
      <w:r w:rsidR="000153CE" w:rsidRPr="00A83D23">
        <w:rPr>
          <w:rFonts w:cstheme="minorHAnsi"/>
          <w:b/>
          <w:bCs/>
        </w:rPr>
        <w:t>ment</w:t>
      </w:r>
      <w:r w:rsidRPr="00A83D23">
        <w:rPr>
          <w:rFonts w:cstheme="minorHAnsi"/>
          <w:b/>
          <w:bCs/>
        </w:rPr>
        <w:t>.</w:t>
      </w:r>
    </w:p>
    <w:p w14:paraId="655C6DBB" w14:textId="520DA856" w:rsidR="00987B30" w:rsidRPr="00A83D23" w:rsidRDefault="00987B30" w:rsidP="00A83D23">
      <w:pPr>
        <w:spacing w:after="0" w:line="240" w:lineRule="auto"/>
        <w:jc w:val="both"/>
        <w:rPr>
          <w:rFonts w:cstheme="minorHAnsi"/>
        </w:rPr>
      </w:pPr>
    </w:p>
    <w:p w14:paraId="3EC571CF" w14:textId="4A1BCD83" w:rsidR="009C68E5" w:rsidRPr="00A83D23" w:rsidRDefault="008A382F" w:rsidP="00A83D23">
      <w:pPr>
        <w:spacing w:after="0" w:line="240" w:lineRule="auto"/>
        <w:jc w:val="both"/>
        <w:rPr>
          <w:rFonts w:cstheme="minorHAnsi"/>
        </w:rPr>
      </w:pPr>
      <w:r w:rsidRPr="00A83D23">
        <w:rPr>
          <w:rFonts w:cstheme="minorHAnsi"/>
        </w:rPr>
        <w:t xml:space="preserve">Les participants </w:t>
      </w:r>
      <w:r w:rsidR="009C68E5" w:rsidRPr="00A83D23">
        <w:rPr>
          <w:rFonts w:cstheme="minorHAnsi"/>
        </w:rPr>
        <w:t xml:space="preserve">à cette </w:t>
      </w:r>
      <w:r w:rsidR="000153CE" w:rsidRPr="00A83D23">
        <w:rPr>
          <w:rFonts w:cstheme="minorHAnsi"/>
        </w:rPr>
        <w:t xml:space="preserve">deuxième </w:t>
      </w:r>
      <w:r w:rsidR="009C68E5" w:rsidRPr="00A83D23">
        <w:rPr>
          <w:rFonts w:cstheme="minorHAnsi"/>
        </w:rPr>
        <w:t>réunion publique pourront prendre connaissance des avancées du projet :</w:t>
      </w:r>
    </w:p>
    <w:p w14:paraId="58E858A5" w14:textId="50530A96" w:rsidR="009C68E5" w:rsidRPr="00A83D23" w:rsidRDefault="00CB3753" w:rsidP="00A83D23">
      <w:pPr>
        <w:pStyle w:val="Paragraphedeliste"/>
        <w:numPr>
          <w:ilvl w:val="0"/>
          <w:numId w:val="2"/>
        </w:numPr>
        <w:spacing w:after="0" w:line="240" w:lineRule="auto"/>
        <w:jc w:val="both"/>
        <w:rPr>
          <w:rFonts w:cstheme="minorHAnsi"/>
        </w:rPr>
      </w:pPr>
      <w:r w:rsidRPr="00A83D23">
        <w:rPr>
          <w:rFonts w:cstheme="minorHAnsi"/>
        </w:rPr>
        <w:t>L</w:t>
      </w:r>
      <w:r w:rsidR="009C68E5" w:rsidRPr="00A83D23">
        <w:rPr>
          <w:rFonts w:cstheme="minorHAnsi"/>
        </w:rPr>
        <w:t>a construction du zonage : l</w:t>
      </w:r>
      <w:r w:rsidR="008A382F" w:rsidRPr="00A83D23">
        <w:rPr>
          <w:rFonts w:cstheme="minorHAnsi"/>
        </w:rPr>
        <w:t xml:space="preserve">e règlement de publicité de Grand Paris Seine &amp; Oise va proposer un découpage du territoire en plusieurs </w:t>
      </w:r>
      <w:r w:rsidRPr="00A83D23">
        <w:rPr>
          <w:rFonts w:cstheme="minorHAnsi"/>
        </w:rPr>
        <w:t xml:space="preserve">secteurs </w:t>
      </w:r>
      <w:r w:rsidR="008A382F" w:rsidRPr="00A83D23">
        <w:rPr>
          <w:rFonts w:cstheme="minorHAnsi"/>
        </w:rPr>
        <w:t xml:space="preserve">établis d’après des </w:t>
      </w:r>
      <w:r w:rsidRPr="00A83D23">
        <w:rPr>
          <w:rFonts w:cstheme="minorHAnsi"/>
        </w:rPr>
        <w:t xml:space="preserve">caractéristiques </w:t>
      </w:r>
      <w:r w:rsidR="008A382F" w:rsidRPr="00A83D23">
        <w:rPr>
          <w:rFonts w:cstheme="minorHAnsi"/>
        </w:rPr>
        <w:t>similaires (centres-villes, axes structurants, zones commerciales…)</w:t>
      </w:r>
      <w:r w:rsidR="009C68E5" w:rsidRPr="00A83D23">
        <w:rPr>
          <w:rFonts w:cstheme="minorHAnsi"/>
        </w:rPr>
        <w:t> ;</w:t>
      </w:r>
    </w:p>
    <w:p w14:paraId="2630D685" w14:textId="303681F2" w:rsidR="0051311D" w:rsidRDefault="00CB3753" w:rsidP="00A83D23">
      <w:pPr>
        <w:pStyle w:val="Paragraphedeliste"/>
        <w:numPr>
          <w:ilvl w:val="0"/>
          <w:numId w:val="2"/>
        </w:numPr>
        <w:spacing w:after="0" w:line="240" w:lineRule="auto"/>
        <w:jc w:val="both"/>
        <w:rPr>
          <w:rFonts w:cstheme="minorHAnsi"/>
        </w:rPr>
      </w:pPr>
      <w:r w:rsidRPr="00A83D23">
        <w:rPr>
          <w:rFonts w:cstheme="minorHAnsi"/>
        </w:rPr>
        <w:t>L</w:t>
      </w:r>
      <w:r w:rsidR="009C68E5" w:rsidRPr="00A83D23">
        <w:rPr>
          <w:rFonts w:cstheme="minorHAnsi"/>
        </w:rPr>
        <w:t xml:space="preserve">es grandes lignes du règlement : </w:t>
      </w:r>
      <w:r w:rsidR="008A382F" w:rsidRPr="00A83D23">
        <w:rPr>
          <w:rFonts w:cstheme="minorHAnsi"/>
        </w:rPr>
        <w:t xml:space="preserve">des règles </w:t>
      </w:r>
      <w:r w:rsidR="001C7682" w:rsidRPr="00A83D23">
        <w:rPr>
          <w:rFonts w:cstheme="minorHAnsi"/>
        </w:rPr>
        <w:t>relatives à</w:t>
      </w:r>
      <w:r w:rsidR="008A382F" w:rsidRPr="00A83D23">
        <w:rPr>
          <w:rFonts w:cstheme="minorHAnsi"/>
        </w:rPr>
        <w:t xml:space="preserve"> l’implantation des panneaux publicitaires, leur format, leur nombre</w:t>
      </w:r>
      <w:r w:rsidRPr="00A83D23">
        <w:rPr>
          <w:rFonts w:cstheme="minorHAnsi"/>
        </w:rPr>
        <w:t xml:space="preserve"> seront définies pour chaque zone</w:t>
      </w:r>
      <w:r w:rsidR="008A382F" w:rsidRPr="00A83D23">
        <w:rPr>
          <w:rFonts w:cstheme="minorHAnsi"/>
        </w:rPr>
        <w:t>.</w:t>
      </w:r>
    </w:p>
    <w:p w14:paraId="3623EB2B" w14:textId="77777777" w:rsidR="002F7166" w:rsidRPr="00A83D23" w:rsidRDefault="002F7166" w:rsidP="002F7166">
      <w:pPr>
        <w:pStyle w:val="Paragraphedeliste"/>
        <w:spacing w:after="0" w:line="240" w:lineRule="auto"/>
        <w:jc w:val="both"/>
        <w:rPr>
          <w:rFonts w:cstheme="minorHAnsi"/>
        </w:rPr>
      </w:pPr>
    </w:p>
    <w:p w14:paraId="62620265" w14:textId="05BAD75A" w:rsidR="008A382F" w:rsidRPr="00A83D23" w:rsidRDefault="008A382F" w:rsidP="00A83D23">
      <w:pPr>
        <w:spacing w:after="0" w:line="240" w:lineRule="auto"/>
        <w:jc w:val="both"/>
        <w:rPr>
          <w:rFonts w:cstheme="minorHAnsi"/>
        </w:rPr>
      </w:pPr>
    </w:p>
    <w:p w14:paraId="086A4A29" w14:textId="0C7D555D" w:rsidR="00FB7FD5" w:rsidRPr="002F7166" w:rsidRDefault="000055EF" w:rsidP="00A83D23">
      <w:pPr>
        <w:spacing w:after="0" w:line="240" w:lineRule="auto"/>
        <w:jc w:val="both"/>
        <w:rPr>
          <w:rFonts w:cstheme="minorHAnsi"/>
          <w:b/>
          <w:bCs/>
          <w:color w:val="7030A0"/>
          <w:sz w:val="24"/>
          <w:szCs w:val="24"/>
        </w:rPr>
      </w:pPr>
      <w:r w:rsidRPr="002F7166">
        <w:rPr>
          <w:rFonts w:cstheme="minorHAnsi"/>
          <w:b/>
          <w:bCs/>
          <w:color w:val="7030A0"/>
          <w:sz w:val="24"/>
          <w:szCs w:val="24"/>
        </w:rPr>
        <w:t xml:space="preserve">Un document </w:t>
      </w:r>
      <w:proofErr w:type="spellStart"/>
      <w:r w:rsidRPr="002F7166">
        <w:rPr>
          <w:rFonts w:cstheme="minorHAnsi"/>
          <w:b/>
          <w:bCs/>
          <w:color w:val="7030A0"/>
          <w:sz w:val="24"/>
          <w:szCs w:val="24"/>
        </w:rPr>
        <w:t>co-construit</w:t>
      </w:r>
      <w:proofErr w:type="spellEnd"/>
      <w:r w:rsidRPr="002F7166">
        <w:rPr>
          <w:rFonts w:cstheme="minorHAnsi"/>
          <w:b/>
          <w:bCs/>
          <w:color w:val="7030A0"/>
          <w:sz w:val="24"/>
          <w:szCs w:val="24"/>
        </w:rPr>
        <w:t xml:space="preserve"> avec tous les partenaires</w:t>
      </w:r>
    </w:p>
    <w:p w14:paraId="6BE44EC4" w14:textId="41245768" w:rsidR="00FB7FD5" w:rsidRPr="00A83D23" w:rsidRDefault="00FB7FD5" w:rsidP="00A83D23">
      <w:pPr>
        <w:spacing w:after="0" w:line="240" w:lineRule="auto"/>
        <w:jc w:val="both"/>
        <w:rPr>
          <w:rFonts w:cstheme="minorHAnsi"/>
        </w:rPr>
      </w:pPr>
      <w:r w:rsidRPr="00A83D23">
        <w:rPr>
          <w:rFonts w:cstheme="minorHAnsi"/>
        </w:rPr>
        <w:t xml:space="preserve">Cette </w:t>
      </w:r>
      <w:r w:rsidR="00CB3753" w:rsidRPr="00A83D23">
        <w:rPr>
          <w:rFonts w:cstheme="minorHAnsi"/>
        </w:rPr>
        <w:t xml:space="preserve">deuxième </w:t>
      </w:r>
      <w:r w:rsidRPr="00A83D23">
        <w:rPr>
          <w:rFonts w:cstheme="minorHAnsi"/>
        </w:rPr>
        <w:t>rencontre virtuelle s’inscrit dans le dispositif de concertation</w:t>
      </w:r>
      <w:r w:rsidR="00CB3753" w:rsidRPr="00A83D23">
        <w:rPr>
          <w:rFonts w:cstheme="minorHAnsi"/>
        </w:rPr>
        <w:t>.</w:t>
      </w:r>
      <w:r w:rsidRPr="00A83D23">
        <w:rPr>
          <w:rFonts w:cstheme="minorHAnsi"/>
        </w:rPr>
        <w:t xml:space="preserve"> </w:t>
      </w:r>
      <w:r w:rsidR="00CB3753" w:rsidRPr="00A83D23">
        <w:rPr>
          <w:rFonts w:cstheme="minorHAnsi"/>
        </w:rPr>
        <w:t>P</w:t>
      </w:r>
      <w:r w:rsidRPr="00A83D23">
        <w:rPr>
          <w:rFonts w:cstheme="minorHAnsi"/>
        </w:rPr>
        <w:t xml:space="preserve">lusieurs moyens </w:t>
      </w:r>
      <w:r w:rsidR="00CB3753" w:rsidRPr="00A83D23">
        <w:rPr>
          <w:rFonts w:cstheme="minorHAnsi"/>
        </w:rPr>
        <w:t xml:space="preserve">permettent de </w:t>
      </w:r>
      <w:r w:rsidRPr="00A83D23">
        <w:rPr>
          <w:rFonts w:cstheme="minorHAnsi"/>
        </w:rPr>
        <w:t xml:space="preserve">s’informer et </w:t>
      </w:r>
      <w:r w:rsidR="00CB3753" w:rsidRPr="00A83D23">
        <w:rPr>
          <w:rFonts w:cstheme="minorHAnsi"/>
        </w:rPr>
        <w:t xml:space="preserve">de </w:t>
      </w:r>
      <w:r w:rsidRPr="00A83D23">
        <w:rPr>
          <w:rFonts w:cstheme="minorHAnsi"/>
        </w:rPr>
        <w:t>participer à la réflexion : un site internet dédié (rlpi.gpseo.fr), un formulaire de contribution mis en ligne, une adresse e-mail qui peut aussi recevoir les contributions (</w:t>
      </w:r>
      <w:hyperlink r:id="rId9" w:history="1">
        <w:r w:rsidRPr="00A83D23">
          <w:rPr>
            <w:rStyle w:val="Lienhypertexte"/>
            <w:rFonts w:cstheme="minorHAnsi"/>
          </w:rPr>
          <w:t>construireensemble@gpseo.fr</w:t>
        </w:r>
      </w:hyperlink>
      <w:r w:rsidRPr="00A83D23">
        <w:rPr>
          <w:rFonts w:cstheme="minorHAnsi"/>
        </w:rPr>
        <w:t xml:space="preserve">), un dossier de concertation accessible dans chaque mairie et sur le site internet, une exposition proposée aux communes qui souhaitent relayer l’information et </w:t>
      </w:r>
      <w:r w:rsidR="00CB3753" w:rsidRPr="00A83D23">
        <w:rPr>
          <w:rFonts w:cstheme="minorHAnsi"/>
        </w:rPr>
        <w:t xml:space="preserve">présentée </w:t>
      </w:r>
      <w:r w:rsidRPr="00A83D23">
        <w:rPr>
          <w:rFonts w:cstheme="minorHAnsi"/>
        </w:rPr>
        <w:t>au siège de GPS&amp;O à Aubergenville.</w:t>
      </w:r>
    </w:p>
    <w:p w14:paraId="5DD33C28" w14:textId="0E299949" w:rsidR="00FB7FD5" w:rsidRPr="00A83D23" w:rsidRDefault="00FB7FD5" w:rsidP="00A83D23">
      <w:pPr>
        <w:spacing w:after="0" w:line="240" w:lineRule="auto"/>
        <w:jc w:val="both"/>
        <w:rPr>
          <w:rFonts w:cstheme="minorHAnsi"/>
        </w:rPr>
      </w:pPr>
      <w:r w:rsidRPr="00A83D23">
        <w:rPr>
          <w:rFonts w:cstheme="minorHAnsi"/>
        </w:rPr>
        <w:t xml:space="preserve">Des temps d’échanges sont également </w:t>
      </w:r>
      <w:r w:rsidR="00CB3753" w:rsidRPr="00A83D23">
        <w:rPr>
          <w:rFonts w:cstheme="minorHAnsi"/>
        </w:rPr>
        <w:t xml:space="preserve">menés </w:t>
      </w:r>
      <w:r w:rsidRPr="00A83D23">
        <w:rPr>
          <w:rFonts w:cstheme="minorHAnsi"/>
        </w:rPr>
        <w:t>depuis le démarrage du projet avec des partenaires-clés pour favoriser la discussion et alimenter la réflexion à l’échelle intercommunale : les communes, les afficheurs, les associations, les commerçants et entrepreneurs.</w:t>
      </w:r>
    </w:p>
    <w:p w14:paraId="690C26D6" w14:textId="64A25139" w:rsidR="00FB7FD5" w:rsidRPr="00A83D23" w:rsidRDefault="00FB7FD5" w:rsidP="00A83D23">
      <w:pPr>
        <w:spacing w:after="0" w:line="240" w:lineRule="auto"/>
        <w:jc w:val="both"/>
        <w:rPr>
          <w:rFonts w:cstheme="minorHAnsi"/>
        </w:rPr>
      </w:pPr>
    </w:p>
    <w:p w14:paraId="4212DA3D" w14:textId="0FDF5FFE" w:rsidR="001751EB" w:rsidRPr="002F7166" w:rsidRDefault="0043798E" w:rsidP="00A83D23">
      <w:pPr>
        <w:spacing w:after="0" w:line="240" w:lineRule="auto"/>
        <w:jc w:val="both"/>
        <w:rPr>
          <w:rFonts w:cstheme="minorHAnsi"/>
          <w:b/>
          <w:bCs/>
          <w:color w:val="7030A0"/>
          <w:sz w:val="24"/>
          <w:szCs w:val="24"/>
        </w:rPr>
      </w:pPr>
      <w:r w:rsidRPr="002F7166">
        <w:rPr>
          <w:rFonts w:cstheme="minorHAnsi"/>
          <w:b/>
          <w:bCs/>
          <w:noProof/>
          <w:color w:val="7030A0"/>
          <w:sz w:val="24"/>
          <w:szCs w:val="24"/>
        </w:rPr>
        <w:drawing>
          <wp:anchor distT="0" distB="0" distL="114300" distR="114300" simplePos="0" relativeHeight="251661312" behindDoc="1" locked="1" layoutInCell="1" allowOverlap="1" wp14:anchorId="0118258B" wp14:editId="2AEA1F3B">
            <wp:simplePos x="0" y="0"/>
            <wp:positionH relativeFrom="page">
              <wp:align>left</wp:align>
            </wp:positionH>
            <wp:positionV relativeFrom="paragraph">
              <wp:posOffset>-3061970</wp:posOffset>
            </wp:positionV>
            <wp:extent cx="7534800" cy="10659600"/>
            <wp:effectExtent l="0" t="0" r="9525" b="0"/>
            <wp:wrapNone/>
            <wp:docPr id="3" name="Imag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r w:rsidR="001751EB" w:rsidRPr="002F7166">
        <w:rPr>
          <w:rFonts w:cstheme="minorHAnsi"/>
          <w:b/>
          <w:bCs/>
          <w:color w:val="7030A0"/>
          <w:sz w:val="24"/>
          <w:szCs w:val="24"/>
        </w:rPr>
        <w:t>L</w:t>
      </w:r>
      <w:r w:rsidR="000055EF" w:rsidRPr="002F7166">
        <w:rPr>
          <w:rFonts w:cstheme="minorHAnsi"/>
          <w:b/>
          <w:bCs/>
          <w:color w:val="7030A0"/>
          <w:sz w:val="24"/>
          <w:szCs w:val="24"/>
        </w:rPr>
        <w:t>e calendrier pr</w:t>
      </w:r>
      <w:r w:rsidR="000055EF">
        <w:rPr>
          <w:rFonts w:cstheme="minorHAnsi"/>
          <w:b/>
          <w:bCs/>
          <w:color w:val="7030A0"/>
          <w:sz w:val="24"/>
          <w:szCs w:val="24"/>
        </w:rPr>
        <w:t>é</w:t>
      </w:r>
      <w:r w:rsidR="000055EF" w:rsidRPr="002F7166">
        <w:rPr>
          <w:rFonts w:cstheme="minorHAnsi"/>
          <w:b/>
          <w:bCs/>
          <w:color w:val="7030A0"/>
          <w:sz w:val="24"/>
          <w:szCs w:val="24"/>
        </w:rPr>
        <w:t>visionnel</w:t>
      </w:r>
    </w:p>
    <w:p w14:paraId="367A8BA8" w14:textId="3CFCAA59" w:rsidR="00E86E10" w:rsidRPr="00A83D23" w:rsidRDefault="001751EB" w:rsidP="00A83D23">
      <w:pPr>
        <w:spacing w:after="0" w:line="240" w:lineRule="auto"/>
        <w:jc w:val="both"/>
        <w:rPr>
          <w:rFonts w:cstheme="minorHAnsi"/>
        </w:rPr>
      </w:pPr>
      <w:r w:rsidRPr="00A83D23">
        <w:rPr>
          <w:rFonts w:cstheme="minorHAnsi"/>
        </w:rPr>
        <w:t xml:space="preserve">Le projet de </w:t>
      </w:r>
      <w:proofErr w:type="spellStart"/>
      <w:r w:rsidRPr="00A83D23">
        <w:rPr>
          <w:rFonts w:cstheme="minorHAnsi"/>
        </w:rPr>
        <w:t>RLPi</w:t>
      </w:r>
      <w:proofErr w:type="spellEnd"/>
      <w:r w:rsidRPr="00A83D23">
        <w:rPr>
          <w:rFonts w:cstheme="minorHAnsi"/>
        </w:rPr>
        <w:t xml:space="preserve"> doit être finalisé puis présenté aux élus </w:t>
      </w:r>
      <w:r w:rsidR="00CB3753" w:rsidRPr="00A83D23">
        <w:rPr>
          <w:rFonts w:cstheme="minorHAnsi"/>
        </w:rPr>
        <w:t xml:space="preserve">communautaires </w:t>
      </w:r>
      <w:r w:rsidR="00EC547A" w:rsidRPr="00A83D23">
        <w:rPr>
          <w:rFonts w:cstheme="minorHAnsi"/>
        </w:rPr>
        <w:t>au</w:t>
      </w:r>
      <w:r w:rsidR="00CB3753" w:rsidRPr="00A83D23">
        <w:rPr>
          <w:rFonts w:cstheme="minorHAnsi"/>
        </w:rPr>
        <w:t xml:space="preserve"> premier</w:t>
      </w:r>
      <w:r w:rsidR="00EC547A" w:rsidRPr="00A83D23">
        <w:rPr>
          <w:rFonts w:cstheme="minorHAnsi"/>
        </w:rPr>
        <w:t xml:space="preserve"> trimestre 2022</w:t>
      </w:r>
      <w:r w:rsidR="00754551" w:rsidRPr="00A83D23">
        <w:rPr>
          <w:rFonts w:cstheme="minorHAnsi"/>
        </w:rPr>
        <w:t>.</w:t>
      </w:r>
      <w:r w:rsidRPr="00A83D23">
        <w:rPr>
          <w:rFonts w:cstheme="minorHAnsi"/>
        </w:rPr>
        <w:t xml:space="preserve"> Juste avant cette échéance, la phase de concertation avec la population doit nécessairement faire l’objet d’un bilan soumis à l’approbation des élus de Grand Paris Seine &amp; Oise. </w:t>
      </w:r>
      <w:r w:rsidR="00FC3C3A" w:rsidRPr="00A83D23">
        <w:rPr>
          <w:rFonts w:cstheme="minorHAnsi"/>
        </w:rPr>
        <w:t>La</w:t>
      </w:r>
      <w:r w:rsidRPr="00A83D23">
        <w:rPr>
          <w:rFonts w:cstheme="minorHAnsi"/>
        </w:rPr>
        <w:t xml:space="preserve"> concertation est donc ouverte au moins jusqu’à mi-décembre prochain.</w:t>
      </w:r>
    </w:p>
    <w:p w14:paraId="5188A54C" w14:textId="1173ACDA" w:rsidR="001751EB" w:rsidRDefault="001751EB" w:rsidP="00A83D23">
      <w:pPr>
        <w:spacing w:after="0" w:line="240" w:lineRule="auto"/>
        <w:jc w:val="both"/>
        <w:rPr>
          <w:rFonts w:cstheme="minorHAnsi"/>
        </w:rPr>
      </w:pPr>
      <w:r w:rsidRPr="00A83D23">
        <w:rPr>
          <w:rFonts w:cstheme="minorHAnsi"/>
        </w:rPr>
        <w:t xml:space="preserve">Après avoir </w:t>
      </w:r>
      <w:r w:rsidR="00FC3C3A" w:rsidRPr="00A83D23">
        <w:rPr>
          <w:rFonts w:cstheme="minorHAnsi"/>
        </w:rPr>
        <w:t>le vote des</w:t>
      </w:r>
      <w:r w:rsidR="00E86E10" w:rsidRPr="00A83D23">
        <w:rPr>
          <w:rFonts w:cstheme="minorHAnsi"/>
        </w:rPr>
        <w:t xml:space="preserve"> élus de GPS&amp;O</w:t>
      </w:r>
      <w:r w:rsidRPr="00A83D23">
        <w:rPr>
          <w:rFonts w:cstheme="minorHAnsi"/>
        </w:rPr>
        <w:t xml:space="preserve">, le projet de </w:t>
      </w:r>
      <w:proofErr w:type="spellStart"/>
      <w:r w:rsidRPr="00A83D23">
        <w:rPr>
          <w:rFonts w:cstheme="minorHAnsi"/>
        </w:rPr>
        <w:t>RLPi</w:t>
      </w:r>
      <w:proofErr w:type="spellEnd"/>
      <w:r w:rsidRPr="00A83D23">
        <w:rPr>
          <w:rFonts w:cstheme="minorHAnsi"/>
        </w:rPr>
        <w:t xml:space="preserve"> sera soumis pour avis</w:t>
      </w:r>
      <w:r w:rsidR="13F5349A" w:rsidRPr="00A83D23">
        <w:rPr>
          <w:rFonts w:cstheme="minorHAnsi"/>
        </w:rPr>
        <w:t xml:space="preserve"> </w:t>
      </w:r>
      <w:r w:rsidR="4DC2CBC7" w:rsidRPr="00A83D23">
        <w:rPr>
          <w:rFonts w:cstheme="minorHAnsi"/>
        </w:rPr>
        <w:t xml:space="preserve">aux </w:t>
      </w:r>
      <w:r w:rsidR="13F5349A" w:rsidRPr="00A83D23">
        <w:rPr>
          <w:rFonts w:cstheme="minorHAnsi"/>
        </w:rPr>
        <w:t xml:space="preserve">communes et </w:t>
      </w:r>
      <w:r w:rsidRPr="00A83D23">
        <w:rPr>
          <w:rFonts w:cstheme="minorHAnsi"/>
        </w:rPr>
        <w:t>aux partenaires</w:t>
      </w:r>
      <w:r w:rsidR="001742FC" w:rsidRPr="00A83D23">
        <w:rPr>
          <w:rFonts w:cstheme="minorHAnsi"/>
        </w:rPr>
        <w:t xml:space="preserve"> </w:t>
      </w:r>
      <w:r w:rsidRPr="00A83D23">
        <w:rPr>
          <w:rFonts w:cstheme="minorHAnsi"/>
        </w:rPr>
        <w:t>puis à la population à travers l’enquête publique</w:t>
      </w:r>
      <w:r w:rsidR="001C7682" w:rsidRPr="00A83D23">
        <w:rPr>
          <w:rFonts w:cstheme="minorHAnsi"/>
        </w:rPr>
        <w:t xml:space="preserve"> prévue à l’automne 2022</w:t>
      </w:r>
      <w:r w:rsidRPr="00A83D23">
        <w:rPr>
          <w:rFonts w:cstheme="minorHAnsi"/>
        </w:rPr>
        <w:t xml:space="preserve">. Ce n’est qu’après avoir enregistré et étudié tous ces retours – et avoir </w:t>
      </w:r>
      <w:r w:rsidR="001742FC" w:rsidRPr="00A83D23">
        <w:rPr>
          <w:rFonts w:cstheme="minorHAnsi"/>
        </w:rPr>
        <w:t>éventuellement</w:t>
      </w:r>
      <w:r w:rsidR="00FC3C3A" w:rsidRPr="00A83D23">
        <w:rPr>
          <w:rFonts w:cstheme="minorHAnsi"/>
        </w:rPr>
        <w:t xml:space="preserve"> </w:t>
      </w:r>
      <w:r w:rsidRPr="00A83D23">
        <w:rPr>
          <w:rFonts w:cstheme="minorHAnsi"/>
        </w:rPr>
        <w:t xml:space="preserve">retouché le projet pour répondre à certaines remarques – que le </w:t>
      </w:r>
      <w:proofErr w:type="spellStart"/>
      <w:r w:rsidRPr="00A83D23">
        <w:rPr>
          <w:rFonts w:cstheme="minorHAnsi"/>
        </w:rPr>
        <w:t>RLPi</w:t>
      </w:r>
      <w:proofErr w:type="spellEnd"/>
      <w:r w:rsidRPr="00A83D23">
        <w:rPr>
          <w:rFonts w:cstheme="minorHAnsi"/>
        </w:rPr>
        <w:t xml:space="preserve"> dans sa forme définitive pourra être soumis à l’approbation finale du conseil de l’intercommunalité</w:t>
      </w:r>
      <w:r w:rsidR="00FC3C3A" w:rsidRPr="00A83D23">
        <w:rPr>
          <w:rFonts w:cstheme="minorHAnsi"/>
        </w:rPr>
        <w:t xml:space="preserve">. Cette ultime étape est pour l’heure </w:t>
      </w:r>
      <w:r w:rsidR="00E86E10" w:rsidRPr="00A83D23">
        <w:rPr>
          <w:rFonts w:cstheme="minorHAnsi"/>
        </w:rPr>
        <w:t>envisagée fin 2022 ou début 2023</w:t>
      </w:r>
      <w:r w:rsidRPr="00A83D23">
        <w:rPr>
          <w:rFonts w:cstheme="minorHAnsi"/>
        </w:rPr>
        <w:t>.</w:t>
      </w:r>
    </w:p>
    <w:p w14:paraId="1DBAD966" w14:textId="77777777" w:rsidR="00BB4292" w:rsidRPr="00A83D23" w:rsidRDefault="00BB4292" w:rsidP="00A83D23">
      <w:pPr>
        <w:spacing w:after="0" w:line="240" w:lineRule="auto"/>
        <w:jc w:val="both"/>
        <w:rPr>
          <w:rFonts w:cstheme="minorHAnsi"/>
        </w:rPr>
      </w:pPr>
    </w:p>
    <w:p w14:paraId="45902ED3" w14:textId="3246CC48" w:rsidR="00481D1A" w:rsidRDefault="00FC3C3A" w:rsidP="00A83D23">
      <w:pPr>
        <w:spacing w:after="0" w:line="240" w:lineRule="auto"/>
        <w:jc w:val="both"/>
      </w:pPr>
      <w:r w:rsidRPr="00A83D23">
        <w:rPr>
          <w:rFonts w:cstheme="minorHAnsi"/>
          <w:b/>
          <w:bCs/>
          <w:u w:val="single"/>
        </w:rPr>
        <w:t>Pour s’inscrire à la réunion publique du 23 novembre 2021</w:t>
      </w:r>
      <w:r w:rsidRPr="00A83D23">
        <w:rPr>
          <w:rFonts w:cstheme="minorHAnsi"/>
        </w:rPr>
        <w:t> :</w:t>
      </w:r>
      <w:r w:rsidR="00DE19E8">
        <w:rPr>
          <w:rFonts w:cstheme="minorHAnsi"/>
        </w:rPr>
        <w:t xml:space="preserve"> </w:t>
      </w:r>
      <w:hyperlink r:id="rId12" w:history="1">
        <w:r w:rsidRPr="00DE19E8">
          <w:rPr>
            <w:rStyle w:val="Lienhypertexte"/>
          </w:rPr>
          <w:t>rlpi.gpseo.fr</w:t>
        </w:r>
      </w:hyperlink>
    </w:p>
    <w:p w14:paraId="6117B4AE" w14:textId="77777777" w:rsidR="001C342F" w:rsidRPr="00DE19E8" w:rsidRDefault="001C342F" w:rsidP="00A83D23">
      <w:pPr>
        <w:spacing w:after="0" w:line="240" w:lineRule="auto"/>
        <w:jc w:val="both"/>
      </w:pPr>
    </w:p>
    <w:p w14:paraId="2E926A2E" w14:textId="1D2C84BE" w:rsidR="00FC3C3A" w:rsidRPr="00A83D23" w:rsidRDefault="00FC3C3A" w:rsidP="00A83D23">
      <w:pPr>
        <w:spacing w:after="0" w:line="240" w:lineRule="auto"/>
        <w:jc w:val="both"/>
        <w:rPr>
          <w:rFonts w:cstheme="minorHAnsi"/>
        </w:rPr>
      </w:pPr>
    </w:p>
    <w:tbl>
      <w:tblPr>
        <w:tblStyle w:val="Grilledutableau"/>
        <w:tblW w:w="9199" w:type="dxa"/>
        <w:tblBorders>
          <w:insideH w:val="none" w:sz="0" w:space="0" w:color="auto"/>
          <w:insideV w:val="none" w:sz="0" w:space="0" w:color="auto"/>
        </w:tblBorders>
        <w:tblLook w:val="04A0" w:firstRow="1" w:lastRow="0" w:firstColumn="1" w:lastColumn="0" w:noHBand="0" w:noVBand="1"/>
      </w:tblPr>
      <w:tblGrid>
        <w:gridCol w:w="9199"/>
      </w:tblGrid>
      <w:tr w:rsidR="00BB4292" w:rsidRPr="00BB4292" w14:paraId="47643BC7" w14:textId="77777777" w:rsidTr="0043798E">
        <w:trPr>
          <w:trHeight w:val="2978"/>
        </w:trPr>
        <w:tc>
          <w:tcPr>
            <w:tcW w:w="919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0A231C7" w14:textId="77777777" w:rsidR="00BB4292" w:rsidRDefault="00BB4292" w:rsidP="00C34AE2">
            <w:pPr>
              <w:jc w:val="both"/>
              <w:rPr>
                <w:rFonts w:cstheme="minorHAnsi"/>
                <w:b/>
                <w:bCs/>
              </w:rPr>
            </w:pPr>
          </w:p>
          <w:p w14:paraId="1999A8F8" w14:textId="2432EC5B" w:rsidR="00BB4292" w:rsidRPr="002F7166" w:rsidRDefault="00BB4292" w:rsidP="00C34AE2">
            <w:pPr>
              <w:jc w:val="both"/>
              <w:rPr>
                <w:rFonts w:cstheme="minorHAnsi"/>
                <w:b/>
                <w:bCs/>
                <w:color w:val="7030A0"/>
              </w:rPr>
            </w:pPr>
            <w:r w:rsidRPr="002F7166">
              <w:rPr>
                <w:rFonts w:cstheme="minorHAnsi"/>
                <w:b/>
                <w:bCs/>
                <w:color w:val="7030A0"/>
              </w:rPr>
              <w:t xml:space="preserve">Rappel des fondamentaux du </w:t>
            </w:r>
            <w:proofErr w:type="spellStart"/>
            <w:r w:rsidRPr="002F7166">
              <w:rPr>
                <w:rFonts w:cstheme="minorHAnsi"/>
                <w:b/>
                <w:bCs/>
                <w:color w:val="7030A0"/>
              </w:rPr>
              <w:t>RLPi</w:t>
            </w:r>
            <w:proofErr w:type="spellEnd"/>
          </w:p>
          <w:p w14:paraId="212A112C" w14:textId="77777777" w:rsidR="00BB4292" w:rsidRPr="00BB4292" w:rsidRDefault="00BB4292" w:rsidP="00C34AE2">
            <w:pPr>
              <w:jc w:val="both"/>
              <w:rPr>
                <w:rFonts w:cstheme="minorHAnsi"/>
                <w:b/>
                <w:bCs/>
              </w:rPr>
            </w:pPr>
            <w:r w:rsidRPr="00BB4292">
              <w:rPr>
                <w:rFonts w:cstheme="minorHAnsi"/>
              </w:rPr>
              <w:t>Le règlement local de publicité intercommunal ne peut réglementer que 3 types de supports :</w:t>
            </w:r>
          </w:p>
          <w:p w14:paraId="25D79BC3" w14:textId="77777777" w:rsidR="00BB4292" w:rsidRPr="00BB4292" w:rsidRDefault="00BB4292" w:rsidP="00C34AE2">
            <w:pPr>
              <w:pStyle w:val="Paragraphedeliste"/>
              <w:numPr>
                <w:ilvl w:val="0"/>
                <w:numId w:val="3"/>
              </w:numPr>
              <w:jc w:val="both"/>
              <w:rPr>
                <w:rFonts w:cstheme="minorHAnsi"/>
                <w:b/>
                <w:bCs/>
              </w:rPr>
            </w:pPr>
            <w:r w:rsidRPr="00BB4292">
              <w:rPr>
                <w:rFonts w:cstheme="minorHAnsi"/>
              </w:rPr>
              <w:t xml:space="preserve">La publicité = toute inscription, forme ou image destinée à informer le public ou à attirer son attention pour vanter un produit par exemple, dès lors qu’elle est installée sur le domaine privé ; la publicité peut aussi être placée sur le domaine public, elle apparaît alors sur des mobiliers urbains que les prestataires installent sous contrat avec les communes (abribus, plan de ville…), elle n’est pas directement soumise au règlement du </w:t>
            </w:r>
            <w:proofErr w:type="spellStart"/>
            <w:r w:rsidRPr="00BB4292">
              <w:rPr>
                <w:rFonts w:cstheme="minorHAnsi"/>
              </w:rPr>
              <w:t>RLPi</w:t>
            </w:r>
            <w:proofErr w:type="spellEnd"/>
            <w:r w:rsidRPr="00BB4292">
              <w:rPr>
                <w:rFonts w:cstheme="minorHAnsi"/>
              </w:rPr>
              <w:t xml:space="preserve"> car elle est associée à un service (renseignements sur la ville, protection des usagers des transports en commun…) ;</w:t>
            </w:r>
          </w:p>
          <w:p w14:paraId="071ECDFD" w14:textId="77777777" w:rsidR="00BB4292" w:rsidRPr="00BB4292" w:rsidRDefault="00BB4292" w:rsidP="00C34AE2">
            <w:pPr>
              <w:pStyle w:val="Paragraphedeliste"/>
              <w:numPr>
                <w:ilvl w:val="0"/>
                <w:numId w:val="3"/>
              </w:numPr>
              <w:jc w:val="both"/>
              <w:rPr>
                <w:rFonts w:cstheme="minorHAnsi"/>
                <w:b/>
                <w:bCs/>
              </w:rPr>
            </w:pPr>
            <w:r w:rsidRPr="00BB4292">
              <w:rPr>
                <w:rFonts w:cstheme="minorHAnsi"/>
              </w:rPr>
              <w:t>La pré-enseigne = toute inscription, forme ou image indiquant la proximité d’un immeuble où s’exerce une activité (présence d’indications directionnelles le plus souvent) ;</w:t>
            </w:r>
          </w:p>
          <w:p w14:paraId="6EADBBD8" w14:textId="77777777" w:rsidR="00BB4292" w:rsidRPr="00BB4292" w:rsidRDefault="00BB4292" w:rsidP="00C34AE2">
            <w:pPr>
              <w:pStyle w:val="Paragraphedeliste"/>
              <w:numPr>
                <w:ilvl w:val="0"/>
                <w:numId w:val="3"/>
              </w:numPr>
              <w:jc w:val="both"/>
              <w:rPr>
                <w:rFonts w:cstheme="minorHAnsi"/>
                <w:b/>
                <w:bCs/>
              </w:rPr>
            </w:pPr>
            <w:r w:rsidRPr="00BB4292">
              <w:rPr>
                <w:rFonts w:cstheme="minorHAnsi"/>
              </w:rPr>
              <w:t>L’enseigne = toute inscription, forme ou image apposée sur un immeuble et relative à une activité qui s’y exerce.</w:t>
            </w:r>
          </w:p>
          <w:p w14:paraId="475C9F9E" w14:textId="795C8D82" w:rsidR="00BB4292" w:rsidRPr="00BB4292" w:rsidRDefault="00BB4292" w:rsidP="00BB4292">
            <w:pPr>
              <w:pStyle w:val="Paragraphedeliste"/>
              <w:jc w:val="both"/>
              <w:rPr>
                <w:rFonts w:cstheme="minorHAnsi"/>
                <w:b/>
                <w:bCs/>
              </w:rPr>
            </w:pPr>
          </w:p>
        </w:tc>
      </w:tr>
    </w:tbl>
    <w:p w14:paraId="5A890A1A" w14:textId="565577B0" w:rsidR="00FB7FD5" w:rsidRDefault="00FB7FD5" w:rsidP="00987B30">
      <w:pPr>
        <w:spacing w:after="0" w:line="240" w:lineRule="auto"/>
        <w:rPr>
          <w:rFonts w:ascii="Arial" w:hAnsi="Arial" w:cs="Arial"/>
        </w:rPr>
      </w:pPr>
    </w:p>
    <w:p w14:paraId="27DD7886" w14:textId="77777777" w:rsidR="00FB7FD5" w:rsidRDefault="00FB7FD5" w:rsidP="00987B30">
      <w:pPr>
        <w:spacing w:after="0" w:line="240" w:lineRule="auto"/>
        <w:rPr>
          <w:rFonts w:ascii="Arial" w:hAnsi="Arial" w:cs="Arial"/>
        </w:rPr>
      </w:pPr>
    </w:p>
    <w:p w14:paraId="01EF3C54" w14:textId="77777777" w:rsidR="002F7166" w:rsidRDefault="002F7166" w:rsidP="00BB4292">
      <w:pPr>
        <w:pStyle w:val="Pieddepage"/>
        <w:rPr>
          <w:rFonts w:cs="Arial"/>
          <w:b/>
          <w:bCs/>
          <w:i/>
          <w:iCs/>
          <w:szCs w:val="18"/>
        </w:rPr>
      </w:pPr>
    </w:p>
    <w:p w14:paraId="1B9CCB7C" w14:textId="77777777" w:rsidR="002F7166" w:rsidRDefault="002F7166" w:rsidP="00BB4292">
      <w:pPr>
        <w:pStyle w:val="Pieddepage"/>
        <w:rPr>
          <w:rFonts w:cs="Arial"/>
          <w:b/>
          <w:bCs/>
          <w:i/>
          <w:iCs/>
          <w:szCs w:val="18"/>
        </w:rPr>
      </w:pPr>
    </w:p>
    <w:p w14:paraId="030DE47B" w14:textId="77777777" w:rsidR="002F7166" w:rsidRDefault="002F7166" w:rsidP="00BB4292">
      <w:pPr>
        <w:pStyle w:val="Pieddepage"/>
        <w:rPr>
          <w:rFonts w:cs="Arial"/>
          <w:b/>
          <w:bCs/>
          <w:i/>
          <w:iCs/>
          <w:szCs w:val="18"/>
        </w:rPr>
      </w:pPr>
    </w:p>
    <w:p w14:paraId="5603C794" w14:textId="77777777" w:rsidR="002F7166" w:rsidRDefault="002F7166" w:rsidP="00BB4292">
      <w:pPr>
        <w:pStyle w:val="Pieddepage"/>
        <w:rPr>
          <w:rFonts w:cs="Arial"/>
          <w:b/>
          <w:bCs/>
          <w:i/>
          <w:iCs/>
          <w:szCs w:val="18"/>
        </w:rPr>
      </w:pPr>
    </w:p>
    <w:p w14:paraId="77F77CE3" w14:textId="77777777" w:rsidR="002F7166" w:rsidRDefault="002F7166" w:rsidP="00BB4292">
      <w:pPr>
        <w:pStyle w:val="Pieddepage"/>
        <w:rPr>
          <w:rFonts w:cs="Arial"/>
          <w:b/>
          <w:bCs/>
          <w:i/>
          <w:iCs/>
          <w:szCs w:val="18"/>
        </w:rPr>
      </w:pPr>
    </w:p>
    <w:p w14:paraId="6289B80A" w14:textId="77777777" w:rsidR="002F7166" w:rsidRDefault="002F7166" w:rsidP="00BB4292">
      <w:pPr>
        <w:pStyle w:val="Pieddepage"/>
        <w:rPr>
          <w:rFonts w:cs="Arial"/>
          <w:b/>
          <w:bCs/>
          <w:i/>
          <w:iCs/>
          <w:szCs w:val="18"/>
        </w:rPr>
      </w:pPr>
    </w:p>
    <w:p w14:paraId="6390401C" w14:textId="77777777" w:rsidR="002F7166" w:rsidRDefault="002F7166" w:rsidP="00BB4292">
      <w:pPr>
        <w:pStyle w:val="Pieddepage"/>
        <w:rPr>
          <w:rFonts w:cs="Arial"/>
          <w:b/>
          <w:bCs/>
          <w:i/>
          <w:iCs/>
          <w:szCs w:val="18"/>
        </w:rPr>
      </w:pPr>
    </w:p>
    <w:p w14:paraId="66BEFBC6" w14:textId="77777777" w:rsidR="002F7166" w:rsidRDefault="002F7166" w:rsidP="00BB4292">
      <w:pPr>
        <w:pStyle w:val="Pieddepage"/>
        <w:rPr>
          <w:rFonts w:cs="Arial"/>
          <w:b/>
          <w:bCs/>
          <w:i/>
          <w:iCs/>
          <w:szCs w:val="18"/>
        </w:rPr>
      </w:pPr>
    </w:p>
    <w:p w14:paraId="3B23A9A7" w14:textId="77777777" w:rsidR="002F7166" w:rsidRDefault="002F7166" w:rsidP="00BB4292">
      <w:pPr>
        <w:pStyle w:val="Pieddepage"/>
        <w:rPr>
          <w:rFonts w:cs="Arial"/>
          <w:b/>
          <w:bCs/>
          <w:i/>
          <w:iCs/>
          <w:szCs w:val="18"/>
        </w:rPr>
      </w:pPr>
    </w:p>
    <w:p w14:paraId="6D554706" w14:textId="77777777" w:rsidR="002F7166" w:rsidRDefault="002F7166" w:rsidP="00BB4292">
      <w:pPr>
        <w:pStyle w:val="Pieddepage"/>
        <w:rPr>
          <w:rFonts w:cs="Arial"/>
          <w:b/>
          <w:bCs/>
          <w:i/>
          <w:iCs/>
          <w:szCs w:val="18"/>
        </w:rPr>
      </w:pPr>
    </w:p>
    <w:p w14:paraId="40C686BC" w14:textId="77777777" w:rsidR="002F7166" w:rsidRDefault="002F7166" w:rsidP="00BB4292">
      <w:pPr>
        <w:pStyle w:val="Pieddepage"/>
        <w:rPr>
          <w:rFonts w:cs="Arial"/>
          <w:b/>
          <w:bCs/>
          <w:i/>
          <w:iCs/>
          <w:szCs w:val="18"/>
        </w:rPr>
      </w:pPr>
    </w:p>
    <w:p w14:paraId="76B5F3DE" w14:textId="77777777" w:rsidR="002F7166" w:rsidRDefault="002F7166" w:rsidP="00BB4292">
      <w:pPr>
        <w:pStyle w:val="Pieddepage"/>
        <w:rPr>
          <w:rFonts w:cs="Arial"/>
          <w:b/>
          <w:bCs/>
          <w:i/>
          <w:iCs/>
          <w:szCs w:val="18"/>
        </w:rPr>
      </w:pPr>
    </w:p>
    <w:p w14:paraId="2CCD592C" w14:textId="77777777" w:rsidR="002F7166" w:rsidRDefault="002F7166" w:rsidP="00BB4292">
      <w:pPr>
        <w:pStyle w:val="Pieddepage"/>
        <w:rPr>
          <w:rFonts w:cs="Arial"/>
          <w:b/>
          <w:bCs/>
          <w:i/>
          <w:iCs/>
          <w:szCs w:val="18"/>
        </w:rPr>
      </w:pPr>
    </w:p>
    <w:p w14:paraId="7FC4E2EB" w14:textId="77777777" w:rsidR="002F7166" w:rsidRDefault="002F7166" w:rsidP="00BB4292">
      <w:pPr>
        <w:pStyle w:val="Pieddepage"/>
        <w:rPr>
          <w:rFonts w:cs="Arial"/>
          <w:b/>
          <w:bCs/>
          <w:i/>
          <w:iCs/>
          <w:szCs w:val="18"/>
        </w:rPr>
      </w:pPr>
    </w:p>
    <w:p w14:paraId="707C4C7C" w14:textId="77777777" w:rsidR="002F7166" w:rsidRDefault="002F7166" w:rsidP="00BB4292">
      <w:pPr>
        <w:pStyle w:val="Pieddepage"/>
        <w:rPr>
          <w:rFonts w:cs="Arial"/>
          <w:b/>
          <w:bCs/>
          <w:i/>
          <w:iCs/>
          <w:szCs w:val="18"/>
        </w:rPr>
      </w:pPr>
    </w:p>
    <w:p w14:paraId="53A057CA" w14:textId="02F8C417" w:rsidR="000055EF" w:rsidRDefault="00BB4292" w:rsidP="00BB4292">
      <w:pPr>
        <w:pStyle w:val="Pieddepage"/>
        <w:rPr>
          <w:rFonts w:asciiTheme="minorHAnsi" w:hAnsiTheme="minorHAnsi" w:cstheme="minorHAnsi"/>
          <w:sz w:val="20"/>
        </w:rPr>
      </w:pPr>
      <w:r w:rsidRPr="00F139CA">
        <w:rPr>
          <w:rFonts w:cs="Arial"/>
          <w:b/>
          <w:bCs/>
          <w:i/>
          <w:iCs/>
          <w:szCs w:val="18"/>
        </w:rPr>
        <w:t>Contact presse</w:t>
      </w:r>
      <w:r>
        <w:rPr>
          <w:rFonts w:cs="Arial"/>
          <w:i/>
          <w:iCs/>
          <w:szCs w:val="18"/>
        </w:rPr>
        <w:t xml:space="preserve"> </w:t>
      </w:r>
      <w:r w:rsidRPr="004D647A">
        <w:rPr>
          <w:rFonts w:asciiTheme="minorHAnsi" w:hAnsiTheme="minorHAnsi" w:cstheme="minorHAnsi"/>
          <w:b/>
          <w:bCs/>
          <w:sz w:val="20"/>
        </w:rPr>
        <w:t>:</w:t>
      </w:r>
      <w:r>
        <w:rPr>
          <w:rFonts w:asciiTheme="minorHAnsi" w:hAnsiTheme="minorHAnsi" w:cstheme="minorHAnsi"/>
          <w:sz w:val="20"/>
        </w:rPr>
        <w:t xml:space="preserve"> </w:t>
      </w:r>
      <w:r w:rsidRPr="000063C8">
        <w:rPr>
          <w:rFonts w:asciiTheme="minorHAnsi" w:hAnsiTheme="minorHAnsi" w:cstheme="minorHAnsi"/>
          <w:sz w:val="20"/>
        </w:rPr>
        <w:t>Xavier Tondi 06 60 44 98 75</w:t>
      </w:r>
      <w:r w:rsidR="000055EF">
        <w:rPr>
          <w:rFonts w:asciiTheme="minorHAnsi" w:hAnsiTheme="minorHAnsi" w:cstheme="minorHAnsi"/>
          <w:sz w:val="20"/>
        </w:rPr>
        <w:t xml:space="preserve"> – </w:t>
      </w:r>
      <w:hyperlink r:id="rId13" w:history="1">
        <w:r w:rsidR="000055EF" w:rsidRPr="00545130">
          <w:rPr>
            <w:rStyle w:val="Lienhypertexte"/>
            <w:rFonts w:asciiTheme="minorHAnsi" w:hAnsiTheme="minorHAnsi" w:cstheme="minorHAnsi"/>
            <w:sz w:val="20"/>
          </w:rPr>
          <w:t>xavier.tondi@gpseo.fr</w:t>
        </w:r>
      </w:hyperlink>
    </w:p>
    <w:p w14:paraId="46ADB6E5" w14:textId="77777777" w:rsidR="00BB4292" w:rsidRPr="00F139CA" w:rsidRDefault="00BB4292" w:rsidP="00BB4292">
      <w:pPr>
        <w:ind w:left="-567" w:right="-426"/>
        <w:jc w:val="both"/>
        <w:rPr>
          <w:rFonts w:cs="Arial"/>
          <w:i/>
          <w:iCs/>
          <w:szCs w:val="18"/>
        </w:rPr>
      </w:pPr>
      <w:r w:rsidRPr="00BA61BD">
        <w:rPr>
          <w:rFonts w:cs="Arial"/>
          <w:b/>
          <w:bCs/>
          <w:i/>
          <w:iCs/>
          <w:noProof/>
          <w:color w:val="808080"/>
          <w:sz w:val="20"/>
          <w:szCs w:val="20"/>
        </w:rPr>
        <w:drawing>
          <wp:anchor distT="0" distB="0" distL="114300" distR="114300" simplePos="0" relativeHeight="251659264" behindDoc="0" locked="0" layoutInCell="1" allowOverlap="1" wp14:anchorId="0ADF1B57" wp14:editId="2C287DC6">
            <wp:simplePos x="0" y="0"/>
            <wp:positionH relativeFrom="margin">
              <wp:align>left</wp:align>
            </wp:positionH>
            <wp:positionV relativeFrom="paragraph">
              <wp:posOffset>104775</wp:posOffset>
            </wp:positionV>
            <wp:extent cx="6284595" cy="64135"/>
            <wp:effectExtent l="0" t="0" r="1905" b="0"/>
            <wp:wrapNone/>
            <wp:docPr id="1" name="Image 1"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 couleur"/>
                    <pic:cNvPicPr>
                      <a:picLocks noChangeAspect="1" noChangeArrowheads="1"/>
                    </pic:cNvPicPr>
                  </pic:nvPicPr>
                  <pic:blipFill>
                    <a:blip r:embed="rId14" cstate="print">
                      <a:extLst>
                        <a:ext uri="{28A0092B-C50C-407E-A947-70E740481C1C}">
                          <a14:useLocalDpi xmlns:a14="http://schemas.microsoft.com/office/drawing/2010/main" val="0"/>
                        </a:ext>
                      </a:extLst>
                    </a:blip>
                    <a:srcRect l="5704" t="-5971"/>
                    <a:stretch>
                      <a:fillRect/>
                    </a:stretch>
                  </pic:blipFill>
                  <pic:spPr bwMode="auto">
                    <a:xfrm>
                      <a:off x="0" y="0"/>
                      <a:ext cx="6284595" cy="64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9CA">
        <w:rPr>
          <w:rFonts w:cs="Arial"/>
          <w:i/>
          <w:iCs/>
          <w:szCs w:val="18"/>
        </w:rPr>
        <w:t xml:space="preserve"> </w:t>
      </w:r>
    </w:p>
    <w:p w14:paraId="114E3926" w14:textId="77777777" w:rsidR="00BB4292" w:rsidRPr="00BA61BD" w:rsidRDefault="00BB4292" w:rsidP="00BB4292">
      <w:pPr>
        <w:ind w:right="-426"/>
        <w:jc w:val="both"/>
        <w:rPr>
          <w:rFonts w:cs="Arial"/>
          <w:b/>
          <w:bCs/>
          <w:i/>
          <w:iCs/>
          <w:color w:val="808080"/>
          <w:sz w:val="20"/>
          <w:szCs w:val="20"/>
        </w:rPr>
      </w:pPr>
      <w:r w:rsidRPr="00BA61BD">
        <w:rPr>
          <w:rFonts w:cs="Arial"/>
          <w:b/>
          <w:bCs/>
          <w:i/>
          <w:iCs/>
          <w:color w:val="808080"/>
          <w:sz w:val="20"/>
          <w:szCs w:val="20"/>
        </w:rPr>
        <w:t>À propos de la communauté urbaine</w:t>
      </w:r>
    </w:p>
    <w:p w14:paraId="1C8C4059" w14:textId="6D9AEA80" w:rsidR="00002365" w:rsidRPr="002F7166" w:rsidRDefault="00BB4292" w:rsidP="002F7166">
      <w:pPr>
        <w:ind w:right="-426"/>
        <w:jc w:val="both"/>
        <w:rPr>
          <w:rFonts w:cs="Arial"/>
          <w:sz w:val="20"/>
          <w:szCs w:val="20"/>
        </w:rPr>
      </w:pPr>
      <w:r w:rsidRPr="00BA61BD">
        <w:rPr>
          <w:rFonts w:cs="Arial"/>
          <w:i/>
          <w:iCs/>
          <w:color w:val="808080"/>
          <w:sz w:val="20"/>
          <w:szCs w:val="20"/>
        </w:rPr>
        <w:t>Grand Paris Seine &amp; Oise, la plus importante communauté urbaine de France, s’étend sur 500 km² et compte plus de 410 000 habitants répartis dans 73 communes. Maillon stratégique aux portes du Grand Paris, La communauté urbaine Grand Paris Seine &amp; Oise gère plusieurs compétences structurantes : mobilités, développement économique, aménagement, habitat, voirie, culture, sport, transition écologique.</w:t>
      </w:r>
    </w:p>
    <w:sectPr w:rsidR="00002365" w:rsidRPr="002F7166" w:rsidSect="00BB4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886"/>
    <w:multiLevelType w:val="hybridMultilevel"/>
    <w:tmpl w:val="9822F7EA"/>
    <w:lvl w:ilvl="0" w:tplc="C6428A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964C26"/>
    <w:multiLevelType w:val="hybridMultilevel"/>
    <w:tmpl w:val="E1CA992C"/>
    <w:lvl w:ilvl="0" w:tplc="9D0EB9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E339BE"/>
    <w:multiLevelType w:val="hybridMultilevel"/>
    <w:tmpl w:val="DE0C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9"/>
    <w:rsid w:val="00002365"/>
    <w:rsid w:val="000055EF"/>
    <w:rsid w:val="000153CE"/>
    <w:rsid w:val="00035C51"/>
    <w:rsid w:val="000E60D7"/>
    <w:rsid w:val="000F6018"/>
    <w:rsid w:val="00137977"/>
    <w:rsid w:val="001742FC"/>
    <w:rsid w:val="001751EB"/>
    <w:rsid w:val="00191C53"/>
    <w:rsid w:val="001C342F"/>
    <w:rsid w:val="001C7682"/>
    <w:rsid w:val="001E763A"/>
    <w:rsid w:val="002F7166"/>
    <w:rsid w:val="00406144"/>
    <w:rsid w:val="0043798E"/>
    <w:rsid w:val="00481D1A"/>
    <w:rsid w:val="004831A0"/>
    <w:rsid w:val="00484460"/>
    <w:rsid w:val="004A3D3E"/>
    <w:rsid w:val="0051311D"/>
    <w:rsid w:val="00564E82"/>
    <w:rsid w:val="00586458"/>
    <w:rsid w:val="00754551"/>
    <w:rsid w:val="00802FB3"/>
    <w:rsid w:val="00875CBB"/>
    <w:rsid w:val="008A382F"/>
    <w:rsid w:val="008F6BFA"/>
    <w:rsid w:val="00952B7E"/>
    <w:rsid w:val="00987B30"/>
    <w:rsid w:val="00990725"/>
    <w:rsid w:val="00996C43"/>
    <w:rsid w:val="009C1969"/>
    <w:rsid w:val="009C68E5"/>
    <w:rsid w:val="00A83D23"/>
    <w:rsid w:val="00B5633D"/>
    <w:rsid w:val="00BB4292"/>
    <w:rsid w:val="00C92C4D"/>
    <w:rsid w:val="00CB3753"/>
    <w:rsid w:val="00CD7390"/>
    <w:rsid w:val="00D745E3"/>
    <w:rsid w:val="00DE19E8"/>
    <w:rsid w:val="00E26DFD"/>
    <w:rsid w:val="00E75030"/>
    <w:rsid w:val="00E86E10"/>
    <w:rsid w:val="00EC547A"/>
    <w:rsid w:val="00F42E2F"/>
    <w:rsid w:val="00F76C55"/>
    <w:rsid w:val="00F80D72"/>
    <w:rsid w:val="00FB7FD5"/>
    <w:rsid w:val="00FC3C3A"/>
    <w:rsid w:val="0335F550"/>
    <w:rsid w:val="04D03045"/>
    <w:rsid w:val="13F5349A"/>
    <w:rsid w:val="216A7941"/>
    <w:rsid w:val="40EBBCA7"/>
    <w:rsid w:val="465F583F"/>
    <w:rsid w:val="4AF54C28"/>
    <w:rsid w:val="4C496838"/>
    <w:rsid w:val="4DC2CBC7"/>
    <w:rsid w:val="5B27699E"/>
    <w:rsid w:val="5E5F0A60"/>
    <w:rsid w:val="695E8837"/>
    <w:rsid w:val="75BF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3BA9"/>
  <w15:chartTrackingRefBased/>
  <w15:docId w15:val="{3C184B14-12C6-471B-BB94-F78B3128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977"/>
    <w:pPr>
      <w:ind w:left="720"/>
      <w:contextualSpacing/>
    </w:pPr>
  </w:style>
  <w:style w:type="character" w:styleId="Lienhypertexte">
    <w:name w:val="Hyperlink"/>
    <w:basedOn w:val="Policepardfaut"/>
    <w:uiPriority w:val="99"/>
    <w:unhideWhenUsed/>
    <w:rsid w:val="00564E82"/>
    <w:rPr>
      <w:color w:val="0563C1" w:themeColor="hyperlink"/>
      <w:u w:val="single"/>
    </w:rPr>
  </w:style>
  <w:style w:type="character" w:styleId="Mentionnonrsolue">
    <w:name w:val="Unresolved Mention"/>
    <w:basedOn w:val="Policepardfaut"/>
    <w:uiPriority w:val="99"/>
    <w:semiHidden/>
    <w:unhideWhenUsed/>
    <w:rsid w:val="00564E82"/>
    <w:rPr>
      <w:color w:val="605E5C"/>
      <w:shd w:val="clear" w:color="auto" w:fill="E1DFDD"/>
    </w:rPr>
  </w:style>
  <w:style w:type="paragraph" w:styleId="Pieddepage">
    <w:name w:val="footer"/>
    <w:basedOn w:val="Normal"/>
    <w:link w:val="PieddepageCar"/>
    <w:uiPriority w:val="99"/>
    <w:rsid w:val="00BB4292"/>
    <w:pPr>
      <w:spacing w:after="0" w:line="240" w:lineRule="auto"/>
    </w:pPr>
    <w:rPr>
      <w:rFonts w:ascii="Lucida Sans" w:eastAsia="Times New Roman" w:hAnsi="Lucida Sans" w:cs="Times New Roman"/>
      <w:sz w:val="16"/>
      <w:szCs w:val="24"/>
      <w:lang w:eastAsia="fr-FR"/>
    </w:rPr>
  </w:style>
  <w:style w:type="character" w:customStyle="1" w:styleId="PieddepageCar">
    <w:name w:val="Pied de page Car"/>
    <w:basedOn w:val="Policepardfaut"/>
    <w:link w:val="Pieddepage"/>
    <w:uiPriority w:val="99"/>
    <w:rsid w:val="00BB4292"/>
    <w:rPr>
      <w:rFonts w:ascii="Lucida Sans" w:eastAsia="Times New Roman" w:hAnsi="Lucida Sans" w:cs="Times New Roman"/>
      <w:sz w:val="16"/>
      <w:szCs w:val="24"/>
      <w:lang w:eastAsia="fr-FR"/>
    </w:rPr>
  </w:style>
  <w:style w:type="table" w:styleId="Grilledutableau">
    <w:name w:val="Table Grid"/>
    <w:basedOn w:val="TableauNormal"/>
    <w:uiPriority w:val="39"/>
    <w:rsid w:val="00BB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C3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avier.tondi@gpseo.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lpi.gpseo.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lpi.gpseo.fr" TargetMode="External"/><Relationship Id="rId4" Type="http://schemas.openxmlformats.org/officeDocument/2006/relationships/numbering" Target="numbering.xml"/><Relationship Id="rId9" Type="http://schemas.openxmlformats.org/officeDocument/2006/relationships/hyperlink" Target="mailto:construireensemble@gpseo.fr"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A6128A299B84F9CD5D2C497E04C18" ma:contentTypeVersion="16" ma:contentTypeDescription="Crée un document." ma:contentTypeScope="" ma:versionID="177e2d3c2a2683fcc1d1d6dab18eea5d">
  <xsd:schema xmlns:xsd="http://www.w3.org/2001/XMLSchema" xmlns:xs="http://www.w3.org/2001/XMLSchema" xmlns:p="http://schemas.microsoft.com/office/2006/metadata/properties" xmlns:ns1="http://schemas.microsoft.com/sharepoint/v3" xmlns:ns3="037e510d-0e73-4e65-9c4a-fbcc1f5c656e" xmlns:ns4="def3fa12-f0bd-47f6-b14f-de308bb4f903" targetNamespace="http://schemas.microsoft.com/office/2006/metadata/properties" ma:root="true" ma:fieldsID="a44214e42fdbde2cda31306dc3875099" ns1:_="" ns3:_="" ns4:_="">
    <xsd:import namespace="http://schemas.microsoft.com/sharepoint/v3"/>
    <xsd:import namespace="037e510d-0e73-4e65-9c4a-fbcc1f5c656e"/>
    <xsd:import namespace="def3fa12-f0bd-47f6-b14f-de308bb4f9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e510d-0e73-4e65-9c4a-fbcc1f5c656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3fa12-f0bd-47f6-b14f-de308bb4f9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79942-7F65-4A64-A68F-EE798E44D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e510d-0e73-4e65-9c4a-fbcc1f5c656e"/>
    <ds:schemaRef ds:uri="def3fa12-f0bd-47f6-b14f-de308bb4f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C63F0-CB55-4C6F-9A76-9E859E1F1D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540F98-C89F-4FAB-B500-39D52611C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Angele LAMBERT</dc:creator>
  <cp:keywords/>
  <dc:description/>
  <cp:lastModifiedBy>Xavier TONDI</cp:lastModifiedBy>
  <cp:revision>14</cp:revision>
  <cp:lastPrinted>2021-11-16T09:20:00Z</cp:lastPrinted>
  <dcterms:created xsi:type="dcterms:W3CDTF">2021-11-09T08:15:00Z</dcterms:created>
  <dcterms:modified xsi:type="dcterms:W3CDTF">2021-11-16T14:04:00Z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0x01010057FA6128A299B84F9CD5D2C497E04C18</vt:lpwstr>
  </property>
</Properties>
</file>